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textAlignment w:val="auto"/>
        <w:outlineLvl w:val="9"/>
        <w:rPr>
          <w:rFonts w:hint="eastAsia" w:ascii="黑体" w:hAnsi="黑体" w:eastAsia="黑体" w:cs="黑体"/>
          <w:b/>
          <w:i w:val="0"/>
          <w:caps w:val="0"/>
          <w:color w:val="auto"/>
          <w:spacing w:val="0"/>
          <w:sz w:val="36"/>
          <w:szCs w:val="36"/>
        </w:rPr>
      </w:pPr>
      <w:r>
        <w:rPr>
          <w:rFonts w:hint="eastAsia" w:ascii="黑体" w:hAnsi="黑体" w:eastAsia="黑体" w:cs="黑体"/>
          <w:b/>
          <w:i w:val="0"/>
          <w:caps w:val="0"/>
          <w:color w:val="auto"/>
          <w:spacing w:val="0"/>
          <w:kern w:val="0"/>
          <w:sz w:val="36"/>
          <w:szCs w:val="36"/>
          <w:shd w:val="clear" w:fill="FFFFFF"/>
          <w:lang w:val="en-US" w:eastAsia="zh-CN" w:bidi="ar"/>
        </w:rPr>
        <w:t>证券公司创新业务（产品）专业评价工作指引</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b w:val="0"/>
          <w:i w:val="0"/>
          <w:caps w:val="0"/>
          <w:color w:val="000000"/>
          <w:spacing w:val="0"/>
          <w:sz w:val="24"/>
          <w:szCs w:val="24"/>
          <w:shd w:val="clear" w:fill="FFFFFF"/>
        </w:rPr>
        <w:t>(2013年8月13日发布)</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b w:val="0"/>
          <w:i w:val="0"/>
          <w:caps w:val="0"/>
          <w:color w:val="000000"/>
          <w:spacing w:val="0"/>
          <w:sz w:val="30"/>
          <w:szCs w:val="30"/>
          <w:shd w:val="clear" w:fill="FFFFFF"/>
        </w:rPr>
      </w:pPr>
      <w:r>
        <w:rPr>
          <w:rFonts w:hint="eastAsia" w:ascii="仿宋" w:hAnsi="仿宋" w:eastAsia="仿宋" w:cs="仿宋"/>
          <w:b w:val="0"/>
          <w:i w:val="0"/>
          <w:caps w:val="0"/>
          <w:color w:val="000000"/>
          <w:spacing w:val="0"/>
          <w:sz w:val="30"/>
          <w:szCs w:val="30"/>
          <w:shd w:val="clear" w:fill="FFFFFF"/>
        </w:rPr>
        <w:t>　</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仿宋" w:hAnsi="仿宋" w:eastAsia="仿宋" w:cs="仿宋"/>
          <w:b/>
          <w:bCs/>
          <w:sz w:val="32"/>
          <w:szCs w:val="32"/>
        </w:rPr>
      </w:pPr>
      <w:r>
        <w:rPr>
          <w:rFonts w:hint="eastAsia" w:ascii="仿宋" w:hAnsi="仿宋" w:eastAsia="仿宋" w:cs="仿宋"/>
          <w:b/>
          <w:bCs/>
          <w:i w:val="0"/>
          <w:caps w:val="0"/>
          <w:color w:val="000000"/>
          <w:spacing w:val="0"/>
          <w:sz w:val="32"/>
          <w:szCs w:val="32"/>
          <w:shd w:val="clear" w:fill="FFFFFF"/>
        </w:rPr>
        <w:t>第一章 总则</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第一条 为加强证券行业自律管理，规范中国证券业协会（以下简称“协会”）专业评价工作，根据《中华人民共和国证券法》、中国证券监督管理委员会（以下简称“证监会”）《证券公司业务（产品）创新工作指引（试行）》和《证券公司专业评价实施办法（试行）》等，制定本指引。</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第二条 本指引所称专业评价是指协会根据证券公司自律管理需要，组织专家对证券公司创新业务（产品）方案进行专业论证，评价其合规性、有效性和可行性。</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第三条 专业评价应坚持客观、公正、合规、高效的原则，并接受证监会的指导和监督。</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b w:val="0"/>
          <w:i w:val="0"/>
          <w:caps w:val="0"/>
          <w:color w:val="000000"/>
          <w:spacing w:val="0"/>
          <w:sz w:val="30"/>
          <w:szCs w:val="30"/>
          <w:shd w:val="clear" w:fill="FFFFFF"/>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仿宋" w:hAnsi="仿宋" w:eastAsia="仿宋" w:cs="仿宋"/>
          <w:b/>
          <w:bCs/>
          <w:sz w:val="32"/>
          <w:szCs w:val="32"/>
        </w:rPr>
      </w:pPr>
      <w:r>
        <w:rPr>
          <w:rFonts w:hint="eastAsia" w:ascii="仿宋" w:hAnsi="仿宋" w:eastAsia="仿宋" w:cs="仿宋"/>
          <w:b/>
          <w:bCs/>
          <w:i w:val="0"/>
          <w:caps w:val="0"/>
          <w:color w:val="000000"/>
          <w:spacing w:val="0"/>
          <w:sz w:val="32"/>
          <w:szCs w:val="32"/>
          <w:shd w:val="clear" w:fill="FFFFFF"/>
        </w:rPr>
        <w:t>第二章 评价范围及要求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第四条 协会对以下类别事项进行专业评价：</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（一）法律法规或自律规则明确要求专业评价的事项；</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（二）证监会或行业自律组织委托协会评价的事项；</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（三）现有法律法规和自律规则尚未明确规定，证券公司主动向协会申请专业评价的事项。</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第五条 证券公司申请创新业务（产品）专业评价的，相关方案应符合以下要求：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（一）市场定位明确；</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（二）可操作性强；</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（三）业务（产品）要素齐备；</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（四）决策与授权体系清晰；</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（五）风险可控；</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（六）法律关系明确；</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（七）投资者权益保护措施到位；</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（八）其他要求。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第六条 证券公司申请专业评价应统筹规划，专业评价方案应经证券公司相关部门充分论证，并经证券公司管理层或相应业务决策机构批准。</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第七条 证券公司应确认申请评价业务（产品）方案不违反法律法规和自律规则的强制性规定，风险可测、可控、可承受，并出具合规意见书和风险管理意见书。</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b w:val="0"/>
          <w:i w:val="0"/>
          <w:caps w:val="0"/>
          <w:color w:val="000000"/>
          <w:spacing w:val="0"/>
          <w:sz w:val="30"/>
          <w:szCs w:val="30"/>
          <w:shd w:val="clear" w:fill="FFFFFF"/>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仿宋" w:hAnsi="仿宋" w:eastAsia="仿宋" w:cs="仿宋"/>
          <w:b/>
          <w:bCs/>
          <w:sz w:val="32"/>
          <w:szCs w:val="32"/>
        </w:rPr>
      </w:pPr>
      <w:r>
        <w:rPr>
          <w:rFonts w:hint="eastAsia" w:ascii="仿宋" w:hAnsi="仿宋" w:eastAsia="仿宋" w:cs="仿宋"/>
          <w:b/>
          <w:bCs/>
          <w:i w:val="0"/>
          <w:caps w:val="0"/>
          <w:color w:val="000000"/>
          <w:spacing w:val="0"/>
          <w:sz w:val="32"/>
          <w:szCs w:val="32"/>
          <w:shd w:val="clear" w:fill="FFFFFF"/>
        </w:rPr>
        <w:t>第三章 评价程序</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第八条 证券公司申请专业评价的，应提交以下申请材料：</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（一）申请书；</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（二）合规意见书；</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（三）风险管理意见书；</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（四）业务或产品方案；</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（五）相关规则与制度；</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（六）证券公司认为有必要提供或协会要求的其他材料。</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申请材料应齐备、完整，内容与格式应符合协会相关要求。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第九条 协会收到证券公司专业评价申请材料后，应在</w:t>
      </w:r>
      <w:r>
        <w:rPr>
          <w:rFonts w:hint="eastAsia" w:ascii="仿宋" w:hAnsi="仿宋" w:eastAsia="仿宋" w:cs="仿宋"/>
          <w:b w:val="0"/>
          <w:i w:val="0"/>
          <w:caps w:val="0"/>
          <w:color w:val="000000"/>
          <w:spacing w:val="0"/>
          <w:sz w:val="30"/>
          <w:szCs w:val="30"/>
          <w:shd w:val="clear" w:fill="FFFFFF"/>
          <w:lang w:val="en-US"/>
        </w:rPr>
        <w:t>5</w:t>
      </w:r>
      <w:r>
        <w:rPr>
          <w:rFonts w:hint="eastAsia" w:ascii="仿宋" w:hAnsi="仿宋" w:eastAsia="仿宋" w:cs="仿宋"/>
          <w:b w:val="0"/>
          <w:i w:val="0"/>
          <w:caps w:val="0"/>
          <w:color w:val="000000"/>
          <w:spacing w:val="0"/>
          <w:sz w:val="30"/>
          <w:szCs w:val="30"/>
          <w:shd w:val="clear" w:fill="FFFFFF"/>
        </w:rPr>
        <w:t>个工作日内对材料类别及内容的齐备性进行审查。材料齐备的，协会通过书面文件或电子邮件等方式通知证券公司正式受理；材料不齐备的，协会通过书面文件或电子邮件等方式一次性告知证券公司需要补足的材料及内容。</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第十条 协会自正式受理证券公司专业评价申请材料之日起</w:t>
      </w:r>
      <w:r>
        <w:rPr>
          <w:rFonts w:hint="eastAsia" w:ascii="仿宋" w:hAnsi="仿宋" w:eastAsia="仿宋" w:cs="仿宋"/>
          <w:b w:val="0"/>
          <w:i w:val="0"/>
          <w:caps w:val="0"/>
          <w:color w:val="000000"/>
          <w:spacing w:val="0"/>
          <w:sz w:val="30"/>
          <w:szCs w:val="30"/>
          <w:shd w:val="clear" w:fill="FFFFFF"/>
          <w:lang w:val="en-US"/>
        </w:rPr>
        <w:t>20</w:t>
      </w:r>
      <w:r>
        <w:rPr>
          <w:rFonts w:hint="eastAsia" w:ascii="仿宋" w:hAnsi="仿宋" w:eastAsia="仿宋" w:cs="仿宋"/>
          <w:b w:val="0"/>
          <w:i w:val="0"/>
          <w:caps w:val="0"/>
          <w:color w:val="000000"/>
          <w:spacing w:val="0"/>
          <w:sz w:val="30"/>
          <w:szCs w:val="30"/>
          <w:shd w:val="clear" w:fill="FFFFFF"/>
        </w:rPr>
        <w:t>个工作日内，对证券公司创新业务（产品）方案内容作初步审查，证券公司创新业务（产品）方案符合证券行业创新方向和合规性要求的，组织专业评价。</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评价工作会议时间确定后，协会应提前</w:t>
      </w:r>
      <w:r>
        <w:rPr>
          <w:rFonts w:hint="eastAsia" w:ascii="仿宋" w:hAnsi="仿宋" w:eastAsia="仿宋" w:cs="仿宋"/>
          <w:b w:val="0"/>
          <w:i w:val="0"/>
          <w:caps w:val="0"/>
          <w:color w:val="000000"/>
          <w:spacing w:val="0"/>
          <w:sz w:val="30"/>
          <w:szCs w:val="30"/>
          <w:shd w:val="clear" w:fill="FFFFFF"/>
          <w:lang w:val="en-US"/>
        </w:rPr>
        <w:t>3</w:t>
      </w:r>
      <w:r>
        <w:rPr>
          <w:rFonts w:hint="eastAsia" w:ascii="仿宋" w:hAnsi="仿宋" w:eastAsia="仿宋" w:cs="仿宋"/>
          <w:b w:val="0"/>
          <w:i w:val="0"/>
          <w:caps w:val="0"/>
          <w:color w:val="000000"/>
          <w:spacing w:val="0"/>
          <w:sz w:val="30"/>
          <w:szCs w:val="30"/>
          <w:shd w:val="clear" w:fill="FFFFFF"/>
        </w:rPr>
        <w:t>个工作日通知证券公司。</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第十一条 证监会委托协会进行专业评价或对专业评价作出具体安排的，按照证监会要求组织评价。</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第十二条 专业评价采取召开评价工作会议的方式进行，协会根据评价事项的性质和类别从专家库中挑选专家，参与评价专家原则上为</w:t>
      </w:r>
      <w:r>
        <w:rPr>
          <w:rFonts w:hint="eastAsia" w:ascii="仿宋" w:hAnsi="仿宋" w:eastAsia="仿宋" w:cs="仿宋"/>
          <w:b w:val="0"/>
          <w:i w:val="0"/>
          <w:caps w:val="0"/>
          <w:color w:val="000000"/>
          <w:spacing w:val="0"/>
          <w:sz w:val="30"/>
          <w:szCs w:val="30"/>
          <w:shd w:val="clear" w:fill="FFFFFF"/>
          <w:lang w:val="en-US"/>
        </w:rPr>
        <w:t>9-11</w:t>
      </w:r>
      <w:r>
        <w:rPr>
          <w:rFonts w:hint="eastAsia" w:ascii="仿宋" w:hAnsi="仿宋" w:eastAsia="仿宋" w:cs="仿宋"/>
          <w:b w:val="0"/>
          <w:i w:val="0"/>
          <w:caps w:val="0"/>
          <w:color w:val="000000"/>
          <w:spacing w:val="0"/>
          <w:sz w:val="30"/>
          <w:szCs w:val="30"/>
          <w:shd w:val="clear" w:fill="FFFFFF"/>
        </w:rPr>
        <w:t>人。</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第十三条 参与评价的专家应至少包含</w:t>
      </w:r>
      <w:r>
        <w:rPr>
          <w:rFonts w:hint="eastAsia" w:ascii="仿宋" w:hAnsi="仿宋" w:eastAsia="仿宋" w:cs="仿宋"/>
          <w:b w:val="0"/>
          <w:i w:val="0"/>
          <w:caps w:val="0"/>
          <w:color w:val="000000"/>
          <w:spacing w:val="0"/>
          <w:sz w:val="30"/>
          <w:szCs w:val="30"/>
          <w:shd w:val="clear" w:fill="FFFFFF"/>
          <w:lang w:val="en-US"/>
        </w:rPr>
        <w:t>1</w:t>
      </w:r>
      <w:r>
        <w:rPr>
          <w:rFonts w:hint="eastAsia" w:ascii="仿宋" w:hAnsi="仿宋" w:eastAsia="仿宋" w:cs="仿宋"/>
          <w:b w:val="0"/>
          <w:i w:val="0"/>
          <w:caps w:val="0"/>
          <w:color w:val="000000"/>
          <w:spacing w:val="0"/>
          <w:sz w:val="30"/>
          <w:szCs w:val="30"/>
          <w:shd w:val="clear" w:fill="FFFFFF"/>
        </w:rPr>
        <w:t>名协会专业委员会委员。评价工作会议设召集人</w:t>
      </w:r>
      <w:r>
        <w:rPr>
          <w:rFonts w:hint="eastAsia" w:ascii="仿宋" w:hAnsi="仿宋" w:eastAsia="仿宋" w:cs="仿宋"/>
          <w:b w:val="0"/>
          <w:i w:val="0"/>
          <w:caps w:val="0"/>
          <w:color w:val="000000"/>
          <w:spacing w:val="0"/>
          <w:sz w:val="30"/>
          <w:szCs w:val="30"/>
          <w:shd w:val="clear" w:fill="FFFFFF"/>
          <w:lang w:val="en-US"/>
        </w:rPr>
        <w:t>1</w:t>
      </w:r>
      <w:r>
        <w:rPr>
          <w:rFonts w:hint="eastAsia" w:ascii="仿宋" w:hAnsi="仿宋" w:eastAsia="仿宋" w:cs="仿宋"/>
          <w:b w:val="0"/>
          <w:i w:val="0"/>
          <w:caps w:val="0"/>
          <w:color w:val="000000"/>
          <w:spacing w:val="0"/>
          <w:sz w:val="30"/>
          <w:szCs w:val="30"/>
          <w:shd w:val="clear" w:fill="FFFFFF"/>
        </w:rPr>
        <w:t>名，负责主持评价工作会议，召集人原则上应由协会专业委员会委员担任。</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第十四条 协会可以根据工作需要邀请证监会或行业相关自律组织人员作为观察员参加评价工作会议。</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第十五条 评价工作会议由评价专家听取证券公司陈述方案、评价专家提问、证券公司答辩等环节组成。</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第十六条 评价专家应在评价工作会议当天对证券公司业务（产品）方案进行打分。评价分数采用百分制，证券公司业务（产品）方案平均得分</w:t>
      </w:r>
      <w:r>
        <w:rPr>
          <w:rFonts w:hint="eastAsia" w:ascii="仿宋" w:hAnsi="仿宋" w:eastAsia="仿宋" w:cs="仿宋"/>
          <w:b w:val="0"/>
          <w:i w:val="0"/>
          <w:caps w:val="0"/>
          <w:color w:val="000000"/>
          <w:spacing w:val="0"/>
          <w:sz w:val="30"/>
          <w:szCs w:val="30"/>
          <w:shd w:val="clear" w:fill="FFFFFF"/>
          <w:lang w:val="en-US"/>
        </w:rPr>
        <w:t>70</w:t>
      </w:r>
      <w:r>
        <w:rPr>
          <w:rFonts w:hint="eastAsia" w:ascii="仿宋" w:hAnsi="仿宋" w:eastAsia="仿宋" w:cs="仿宋"/>
          <w:b w:val="0"/>
          <w:i w:val="0"/>
          <w:caps w:val="0"/>
          <w:color w:val="000000"/>
          <w:spacing w:val="0"/>
          <w:sz w:val="30"/>
          <w:szCs w:val="30"/>
          <w:shd w:val="clear" w:fill="FFFFFF"/>
        </w:rPr>
        <w:t>分以上且打分</w:t>
      </w:r>
      <w:r>
        <w:rPr>
          <w:rFonts w:hint="eastAsia" w:ascii="仿宋" w:hAnsi="仿宋" w:eastAsia="仿宋" w:cs="仿宋"/>
          <w:b w:val="0"/>
          <w:i w:val="0"/>
          <w:caps w:val="0"/>
          <w:color w:val="000000"/>
          <w:spacing w:val="0"/>
          <w:sz w:val="30"/>
          <w:szCs w:val="30"/>
          <w:shd w:val="clear" w:fill="FFFFFF"/>
          <w:lang w:val="en-US"/>
        </w:rPr>
        <w:t>70</w:t>
      </w:r>
      <w:r>
        <w:rPr>
          <w:rFonts w:hint="eastAsia" w:ascii="仿宋" w:hAnsi="仿宋" w:eastAsia="仿宋" w:cs="仿宋"/>
          <w:b w:val="0"/>
          <w:i w:val="0"/>
          <w:caps w:val="0"/>
          <w:color w:val="000000"/>
          <w:spacing w:val="0"/>
          <w:sz w:val="30"/>
          <w:szCs w:val="30"/>
          <w:shd w:val="clear" w:fill="FFFFFF"/>
        </w:rPr>
        <w:t>分以上的专家人数不低于参与评价专家总人数的三分之二，方案通过专业评价。</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第十七条 存在以下情形的，协会可以组织简易评价：</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（一）证券公司对已通过专业评价的某类业务（产品）关键要素进行修改，且未改变该类业务的性质和基本模式，证券公司申请对修改后的业务（产品）专业评价的；</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（二）结构简单、要素清晰且风险可控的业务（产品）；</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（三）协会确认可以进行简易评价的其他情形。</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对上述第（一）项规定业务（产品）进行简易评价的，主要关注业务（产品）方案关键要素的修改部分及其影响。</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第十八条 协会自正式受理证券公司专业评价申请材料之日起</w:t>
      </w:r>
      <w:r>
        <w:rPr>
          <w:rFonts w:hint="eastAsia" w:ascii="仿宋" w:hAnsi="仿宋" w:eastAsia="仿宋" w:cs="仿宋"/>
          <w:b w:val="0"/>
          <w:i w:val="0"/>
          <w:caps w:val="0"/>
          <w:color w:val="000000"/>
          <w:spacing w:val="0"/>
          <w:sz w:val="30"/>
          <w:szCs w:val="30"/>
          <w:shd w:val="clear" w:fill="FFFFFF"/>
          <w:lang w:val="en-US"/>
        </w:rPr>
        <w:t>10</w:t>
      </w:r>
      <w:r>
        <w:rPr>
          <w:rFonts w:hint="eastAsia" w:ascii="仿宋" w:hAnsi="仿宋" w:eastAsia="仿宋" w:cs="仿宋"/>
          <w:b w:val="0"/>
          <w:i w:val="0"/>
          <w:caps w:val="0"/>
          <w:color w:val="000000"/>
          <w:spacing w:val="0"/>
          <w:sz w:val="30"/>
          <w:szCs w:val="30"/>
          <w:shd w:val="clear" w:fill="FFFFFF"/>
        </w:rPr>
        <w:t>个工作日内组织简易评价。</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简易评价可以通过视频会议、电话会议、电子邮件、即时通讯工具等非现场形式开展，参与简易评价的专家原则上为</w:t>
      </w:r>
      <w:r>
        <w:rPr>
          <w:rFonts w:hint="eastAsia" w:ascii="仿宋" w:hAnsi="仿宋" w:eastAsia="仿宋" w:cs="仿宋"/>
          <w:b w:val="0"/>
          <w:i w:val="0"/>
          <w:caps w:val="0"/>
          <w:color w:val="000000"/>
          <w:spacing w:val="0"/>
          <w:sz w:val="30"/>
          <w:szCs w:val="30"/>
          <w:shd w:val="clear" w:fill="FFFFFF"/>
          <w:lang w:val="en-US"/>
        </w:rPr>
        <w:t>5-7</w:t>
      </w:r>
      <w:r>
        <w:rPr>
          <w:rFonts w:hint="eastAsia" w:ascii="仿宋" w:hAnsi="仿宋" w:eastAsia="仿宋" w:cs="仿宋"/>
          <w:b w:val="0"/>
          <w:i w:val="0"/>
          <w:caps w:val="0"/>
          <w:color w:val="000000"/>
          <w:spacing w:val="0"/>
          <w:sz w:val="30"/>
          <w:szCs w:val="30"/>
          <w:shd w:val="clear" w:fill="FFFFFF"/>
        </w:rPr>
        <w:t>人。</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第十九条 对证券行业首次开展的创新业务</w:t>
      </w:r>
      <w:r>
        <w:rPr>
          <w:rFonts w:hint="eastAsia" w:ascii="仿宋" w:hAnsi="仿宋" w:eastAsia="仿宋" w:cs="仿宋"/>
          <w:b w:val="0"/>
          <w:i w:val="0"/>
          <w:caps w:val="0"/>
          <w:color w:val="000000"/>
          <w:spacing w:val="0"/>
          <w:sz w:val="30"/>
          <w:szCs w:val="30"/>
          <w:shd w:val="clear" w:fill="FFFFFF"/>
          <w:lang w:val="en-US"/>
        </w:rPr>
        <w:t>(</w:t>
      </w:r>
      <w:r>
        <w:rPr>
          <w:rFonts w:hint="eastAsia" w:ascii="仿宋" w:hAnsi="仿宋" w:eastAsia="仿宋" w:cs="仿宋"/>
          <w:b w:val="0"/>
          <w:i w:val="0"/>
          <w:caps w:val="0"/>
          <w:color w:val="000000"/>
          <w:spacing w:val="0"/>
          <w:sz w:val="30"/>
          <w:szCs w:val="30"/>
          <w:shd w:val="clear" w:fill="FFFFFF"/>
        </w:rPr>
        <w:t>产品</w:t>
      </w:r>
      <w:r>
        <w:rPr>
          <w:rFonts w:hint="eastAsia" w:ascii="仿宋" w:hAnsi="仿宋" w:eastAsia="仿宋" w:cs="仿宋"/>
          <w:b w:val="0"/>
          <w:i w:val="0"/>
          <w:caps w:val="0"/>
          <w:color w:val="000000"/>
          <w:spacing w:val="0"/>
          <w:sz w:val="30"/>
          <w:szCs w:val="30"/>
          <w:shd w:val="clear" w:fill="FFFFFF"/>
          <w:lang w:val="en-US"/>
        </w:rPr>
        <w:t>)</w:t>
      </w:r>
      <w:r>
        <w:rPr>
          <w:rFonts w:hint="eastAsia" w:ascii="仿宋" w:hAnsi="仿宋" w:eastAsia="仿宋" w:cs="仿宋"/>
          <w:b w:val="0"/>
          <w:i w:val="0"/>
          <w:caps w:val="0"/>
          <w:color w:val="000000"/>
          <w:spacing w:val="0"/>
          <w:sz w:val="30"/>
          <w:szCs w:val="30"/>
          <w:shd w:val="clear" w:fill="FFFFFF"/>
        </w:rPr>
        <w:t>以及证监会明确要求的事项，协会在组织专业评价后应征求证监会意见。</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对已征求过证监会意见并通过专业评价的同类业务（产品），协会组织专业评价后不再征求证监会意见。</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第二十条 协会以书面形式将专业评价意见反馈证券公司，并抄送证监会和其他相关机构。</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第二十一条 证券公司创新业务（产品）方案通过协会专业评价后，证券公司应根据专业评价意见进行完善，并将完善后的业务（产品）方案报协会备案。</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第二十二条 对证券公司根据已在协会备案的创新业务（产品）方案设计的具体产品，协会不再组织专业评价。证券公司应按照《证券公司私募产品备案管理办法》等规则将具体产品报中证资本市场发展监测中心备案。</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第二十三条 中证资本市场发展监测中心应加强产品备案管理，并定期评估。</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协会可以参照定期评估结果，决定是否受理证券公司相关业务专业评价申请。</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b w:val="0"/>
          <w:i w:val="0"/>
          <w:caps w:val="0"/>
          <w:color w:val="000000"/>
          <w:spacing w:val="0"/>
          <w:sz w:val="30"/>
          <w:szCs w:val="30"/>
          <w:shd w:val="clear" w:fill="FFFFFF"/>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仿宋" w:hAnsi="仿宋" w:eastAsia="仿宋" w:cs="仿宋"/>
          <w:b/>
          <w:bCs/>
          <w:sz w:val="30"/>
          <w:szCs w:val="30"/>
        </w:rPr>
      </w:pPr>
      <w:r>
        <w:rPr>
          <w:rFonts w:hint="eastAsia" w:ascii="仿宋" w:hAnsi="仿宋" w:eastAsia="仿宋" w:cs="仿宋"/>
          <w:b/>
          <w:bCs/>
          <w:i w:val="0"/>
          <w:caps w:val="0"/>
          <w:color w:val="000000"/>
          <w:spacing w:val="0"/>
          <w:sz w:val="30"/>
          <w:szCs w:val="30"/>
          <w:shd w:val="clear" w:fill="FFFFFF"/>
        </w:rPr>
        <w:t>第四章 评价专家</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第二十四条 协会设立评价专家库，聘请证监会、行业自律组织、证券公司、证券服务机构等的专业人员担任评价专家。</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第二十五条 评价专家应在相关领域有五年以上工作经验，具有较高的专业水平和良好的行业声誉，且最近五年未被证监会处罚或自律组织处分。</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第二十六条 协会可以根据专业评价工作需要在专家库之外选聘临时专家。临时专家数量不得超过参与评价专家总人数的三分之一。</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第二十七条 评价专家应勤勉尽责、诚实守信、廉洁自律，客观公正、独立审慎地对专业评价方案进行评价。</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评价专家应保证必要的时间提前了解专业评价方案，并按照要求撰写工作底稿和专业评价意见。</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第二十八条 当与被评价公司有利害关系或存在其他可能影响评价工作公信力的情形时，评价专家应主动回避，被评价公司也可以向协会提出专家回避申请。</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第二十九条 评价专家应坚持保密的原则，不得泄露评价工作中的讨论内容及打分情况。</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评价专家应尊重和保护被评价公司商业秘密，仅在专业评价目的范围内使用专业评价方案。评价专家不得向专业评价之外的机构或个人透露专业评价方案相关内容。</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第三十条 协会制定评价专家日常管理制度，加强对评价专家的持续评价和管理。</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b w:val="0"/>
          <w:i w:val="0"/>
          <w:caps w:val="0"/>
          <w:color w:val="000000"/>
          <w:spacing w:val="0"/>
          <w:sz w:val="30"/>
          <w:szCs w:val="30"/>
          <w:shd w:val="clear" w:fill="FFFFFF"/>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仿宋" w:hAnsi="仿宋" w:eastAsia="仿宋" w:cs="仿宋"/>
          <w:b/>
          <w:bCs/>
          <w:sz w:val="30"/>
          <w:szCs w:val="30"/>
        </w:rPr>
      </w:pPr>
      <w:r>
        <w:rPr>
          <w:rFonts w:hint="eastAsia" w:ascii="仿宋" w:hAnsi="仿宋" w:eastAsia="仿宋" w:cs="仿宋"/>
          <w:b/>
          <w:bCs/>
          <w:i w:val="0"/>
          <w:caps w:val="0"/>
          <w:color w:val="000000"/>
          <w:spacing w:val="0"/>
          <w:sz w:val="30"/>
          <w:szCs w:val="30"/>
          <w:shd w:val="clear" w:fill="FFFFFF"/>
        </w:rPr>
        <w:t>第五章 附则</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第三十一条 协会根据专业评价工作需要发布证券公司申请创新业务（产品）专业评价事项清单和单项业务（产品）专业评价申请材料内容与格式要求。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第三十二条 本指引由协会负责解释。</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第三十三条 本指引自发布之日起施行。</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b w:val="0"/>
          <w:i w:val="0"/>
          <w:caps w:val="0"/>
          <w:color w:val="000000"/>
          <w:spacing w:val="0"/>
          <w:sz w:val="30"/>
          <w:szCs w:val="30"/>
          <w:shd w:val="clear" w:fill="FFFFFF"/>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b/>
          <w:bCs/>
          <w:sz w:val="30"/>
          <w:szCs w:val="30"/>
        </w:rPr>
      </w:pPr>
      <w:r>
        <w:rPr>
          <w:rFonts w:hint="eastAsia" w:ascii="仿宋" w:hAnsi="仿宋" w:eastAsia="仿宋" w:cs="仿宋"/>
          <w:b/>
          <w:bCs/>
          <w:i w:val="0"/>
          <w:caps w:val="0"/>
          <w:color w:val="000000"/>
          <w:spacing w:val="0"/>
          <w:sz w:val="30"/>
          <w:szCs w:val="30"/>
          <w:shd w:val="clear" w:fill="FFFFFF"/>
        </w:rPr>
        <w:t>附件：</w:t>
      </w:r>
      <w:r>
        <w:rPr>
          <w:rFonts w:hint="eastAsia" w:ascii="仿宋" w:hAnsi="仿宋" w:eastAsia="仿宋" w:cs="仿宋"/>
          <w:b/>
          <w:bCs/>
          <w:i w:val="0"/>
          <w:caps w:val="0"/>
          <w:color w:val="000000"/>
          <w:spacing w:val="0"/>
          <w:sz w:val="30"/>
          <w:szCs w:val="30"/>
          <w:shd w:val="clear" w:fill="FFFFFF"/>
          <w:lang w:val="en-US"/>
        </w:rPr>
        <w:t>1</w:t>
      </w:r>
      <w:r>
        <w:rPr>
          <w:rFonts w:hint="eastAsia" w:ascii="仿宋" w:hAnsi="仿宋" w:eastAsia="仿宋" w:cs="仿宋"/>
          <w:b/>
          <w:bCs/>
          <w:i w:val="0"/>
          <w:caps w:val="0"/>
          <w:color w:val="000000"/>
          <w:spacing w:val="0"/>
          <w:sz w:val="30"/>
          <w:szCs w:val="30"/>
          <w:shd w:val="clear" w:fill="FFFFFF"/>
        </w:rPr>
        <w:t>、申请书参考内容与格式</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904" w:firstLineChars="300"/>
        <w:jc w:val="both"/>
        <w:textAlignment w:val="auto"/>
        <w:outlineLvl w:val="9"/>
        <w:rPr>
          <w:rFonts w:hint="eastAsia" w:ascii="仿宋" w:hAnsi="仿宋" w:eastAsia="仿宋" w:cs="仿宋"/>
          <w:b/>
          <w:bCs/>
          <w:sz w:val="30"/>
          <w:szCs w:val="30"/>
        </w:rPr>
      </w:pPr>
      <w:r>
        <w:rPr>
          <w:rFonts w:hint="eastAsia" w:ascii="仿宋" w:hAnsi="仿宋" w:eastAsia="仿宋" w:cs="仿宋"/>
          <w:b/>
          <w:bCs/>
          <w:i w:val="0"/>
          <w:caps w:val="0"/>
          <w:color w:val="000000"/>
          <w:spacing w:val="0"/>
          <w:sz w:val="30"/>
          <w:szCs w:val="30"/>
          <w:shd w:val="clear" w:fill="FFFFFF"/>
          <w:lang w:val="en-US"/>
        </w:rPr>
        <w:t>2</w:t>
      </w:r>
      <w:r>
        <w:rPr>
          <w:rFonts w:hint="eastAsia" w:ascii="仿宋" w:hAnsi="仿宋" w:eastAsia="仿宋" w:cs="仿宋"/>
          <w:b/>
          <w:bCs/>
          <w:i w:val="0"/>
          <w:caps w:val="0"/>
          <w:color w:val="000000"/>
          <w:spacing w:val="0"/>
          <w:sz w:val="30"/>
          <w:szCs w:val="30"/>
          <w:shd w:val="clear" w:fill="FFFFFF"/>
        </w:rPr>
        <w:t>、合规意见书参考内容与格式</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904" w:firstLineChars="300"/>
        <w:jc w:val="both"/>
        <w:textAlignment w:val="auto"/>
        <w:outlineLvl w:val="9"/>
        <w:rPr>
          <w:rFonts w:hint="eastAsia" w:ascii="仿宋" w:hAnsi="仿宋" w:eastAsia="仿宋" w:cs="仿宋"/>
          <w:b/>
          <w:bCs/>
          <w:sz w:val="30"/>
          <w:szCs w:val="30"/>
        </w:rPr>
      </w:pPr>
      <w:r>
        <w:rPr>
          <w:rFonts w:hint="eastAsia" w:ascii="仿宋" w:hAnsi="仿宋" w:eastAsia="仿宋" w:cs="仿宋"/>
          <w:b/>
          <w:bCs/>
          <w:i w:val="0"/>
          <w:caps w:val="0"/>
          <w:color w:val="000000"/>
          <w:spacing w:val="0"/>
          <w:sz w:val="30"/>
          <w:szCs w:val="30"/>
          <w:shd w:val="clear" w:fill="FFFFFF"/>
          <w:lang w:val="en-US"/>
        </w:rPr>
        <w:t>3</w:t>
      </w:r>
      <w:r>
        <w:rPr>
          <w:rFonts w:hint="eastAsia" w:ascii="仿宋" w:hAnsi="仿宋" w:eastAsia="仿宋" w:cs="仿宋"/>
          <w:b/>
          <w:bCs/>
          <w:i w:val="0"/>
          <w:caps w:val="0"/>
          <w:color w:val="000000"/>
          <w:spacing w:val="0"/>
          <w:sz w:val="30"/>
          <w:szCs w:val="30"/>
          <w:shd w:val="clear" w:fill="FFFFFF"/>
        </w:rPr>
        <w:t>、风险管理意见书参考内容与格式</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8F161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2018-01-04T02:05:12Z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